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94F89">
      <w:pPr>
        <w:pStyle w:val="5"/>
        <w:tabs>
          <w:tab w:val="right" w:leader="dot" w:pos="8730"/>
        </w:tabs>
        <w:jc w:val="center"/>
        <w:outlineLvl w:val="0"/>
        <w:rPr>
          <w:rFonts w:hint="eastAsia"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color w:val="auto"/>
          <w:sz w:val="28"/>
          <w:szCs w:val="28"/>
          <w:highlight w:val="none"/>
          <w:lang w:val="en-US" w:eastAsia="zh-CN"/>
        </w:rPr>
        <w:t>科技城新区永兴普明片区垃圾分类收转运体系提升改造项目环境影响评价单位采购公告</w:t>
      </w:r>
    </w:p>
    <w:p w14:paraId="3425888D">
      <w:pPr>
        <w:rPr>
          <w:rFonts w:hint="eastAsia" w:ascii="仿宋" w:hAnsi="仿宋" w:eastAsia="仿宋" w:cs="仿宋"/>
          <w:b/>
          <w:spacing w:val="10"/>
          <w:kern w:val="0"/>
          <w:sz w:val="24"/>
          <w:szCs w:val="24"/>
          <w:lang w:val="en-US" w:eastAsia="zh-CN"/>
        </w:rPr>
      </w:pPr>
      <w:r>
        <w:rPr>
          <w:rFonts w:hint="eastAsia" w:ascii="仿宋" w:hAnsi="仿宋" w:eastAsia="仿宋" w:cs="仿宋"/>
          <w:b/>
          <w:spacing w:val="10"/>
          <w:kern w:val="0"/>
          <w:sz w:val="24"/>
          <w:szCs w:val="24"/>
          <w:lang w:val="en-US" w:eastAsia="zh-CN"/>
        </w:rPr>
        <w:t>一、竞谈条件</w:t>
      </w:r>
    </w:p>
    <w:p w14:paraId="68FCB42C">
      <w:pPr>
        <w:spacing w:line="576" w:lineRule="exact"/>
        <w:ind w:firstLine="480" w:firstLineChars="200"/>
        <w:rPr>
          <w:rFonts w:hint="default"/>
          <w:lang w:val="en-US" w:eastAsia="zh-CN"/>
        </w:rPr>
      </w:pPr>
      <w:r>
        <w:rPr>
          <w:rStyle w:val="8"/>
          <w:rFonts w:hint="eastAsia" w:ascii="仿宋" w:hAnsi="仿宋" w:eastAsia="仿宋" w:cs="仿宋"/>
          <w:color w:val="auto"/>
          <w:sz w:val="24"/>
          <w:szCs w:val="24"/>
          <w:u w:val="none"/>
          <w:lang w:val="en-US" w:eastAsia="zh-CN"/>
        </w:rPr>
        <w:t>科技城新区永兴普明片区垃圾分类收转运体系提升改造项目环境影响评价单位</w:t>
      </w:r>
      <w:r>
        <w:rPr>
          <w:rStyle w:val="8"/>
          <w:rFonts w:hint="default" w:ascii="仿宋" w:hAnsi="仿宋" w:eastAsia="仿宋" w:cs="仿宋"/>
          <w:color w:val="auto"/>
          <w:sz w:val="24"/>
          <w:szCs w:val="24"/>
          <w:u w:val="none"/>
          <w:lang w:val="en-US" w:eastAsia="zh-CN"/>
        </w:rPr>
        <w:t>，</w:t>
      </w:r>
      <w:r>
        <w:rPr>
          <w:rStyle w:val="8"/>
          <w:rFonts w:hint="eastAsia" w:ascii="仿宋" w:hAnsi="仿宋" w:eastAsia="仿宋" w:cs="仿宋"/>
          <w:color w:val="auto"/>
          <w:sz w:val="24"/>
          <w:szCs w:val="24"/>
          <w:u w:val="none"/>
          <w:lang w:val="en-US" w:eastAsia="zh-CN"/>
        </w:rPr>
        <w:t>采购人</w:t>
      </w:r>
      <w:r>
        <w:rPr>
          <w:rStyle w:val="8"/>
          <w:rFonts w:hint="default" w:ascii="仿宋" w:hAnsi="仿宋" w:eastAsia="仿宋" w:cs="仿宋"/>
          <w:color w:val="auto"/>
          <w:sz w:val="24"/>
          <w:szCs w:val="24"/>
          <w:u w:val="none"/>
          <w:lang w:val="en-US" w:eastAsia="zh-CN"/>
        </w:rPr>
        <w:t>为</w:t>
      </w:r>
      <w:r>
        <w:rPr>
          <w:rStyle w:val="8"/>
          <w:rFonts w:hint="eastAsia" w:ascii="仿宋" w:hAnsi="仿宋" w:eastAsia="仿宋" w:cs="仿宋"/>
          <w:color w:val="auto"/>
          <w:sz w:val="24"/>
          <w:szCs w:val="24"/>
          <w:u w:val="none"/>
          <w:lang w:val="en-US" w:eastAsia="zh-CN"/>
        </w:rPr>
        <w:t>绵阳高新市政建设有限责任公司</w:t>
      </w:r>
      <w:r>
        <w:rPr>
          <w:rStyle w:val="8"/>
          <w:rFonts w:hint="default" w:ascii="仿宋" w:hAnsi="仿宋" w:eastAsia="仿宋" w:cs="仿宋"/>
          <w:color w:val="auto"/>
          <w:sz w:val="24"/>
          <w:szCs w:val="24"/>
          <w:u w:val="none"/>
          <w:lang w:val="en-US" w:eastAsia="zh-CN"/>
        </w:rPr>
        <w:t>。诚邀符合资格条件的潜在</w:t>
      </w:r>
      <w:r>
        <w:rPr>
          <w:rStyle w:val="8"/>
          <w:rFonts w:hint="eastAsia" w:ascii="仿宋" w:hAnsi="仿宋" w:eastAsia="仿宋" w:cs="仿宋"/>
          <w:color w:val="auto"/>
          <w:sz w:val="24"/>
          <w:szCs w:val="24"/>
          <w:u w:val="none"/>
          <w:lang w:val="en-US" w:eastAsia="zh-CN"/>
        </w:rPr>
        <w:t>供应商</w:t>
      </w:r>
      <w:r>
        <w:rPr>
          <w:rStyle w:val="8"/>
          <w:rFonts w:hint="default" w:ascii="仿宋" w:hAnsi="仿宋" w:eastAsia="仿宋" w:cs="仿宋"/>
          <w:color w:val="auto"/>
          <w:sz w:val="24"/>
          <w:szCs w:val="24"/>
          <w:u w:val="none"/>
          <w:lang w:val="en-US" w:eastAsia="zh-CN"/>
        </w:rPr>
        <w:t>参与本项目的竞争性谈判。</w:t>
      </w:r>
      <w:r>
        <w:rPr>
          <w:rStyle w:val="8"/>
          <w:rFonts w:hint="eastAsia" w:ascii="仿宋" w:hAnsi="仿宋" w:eastAsia="仿宋" w:cs="仿宋"/>
          <w:color w:val="auto"/>
          <w:sz w:val="24"/>
          <w:szCs w:val="24"/>
          <w:u w:val="none"/>
          <w:lang w:val="en-US" w:eastAsia="zh-CN"/>
        </w:rPr>
        <w:t>采购人</w:t>
      </w:r>
      <w:r>
        <w:rPr>
          <w:rStyle w:val="8"/>
          <w:rFonts w:hint="default" w:ascii="仿宋" w:hAnsi="仿宋" w:eastAsia="仿宋" w:cs="仿宋"/>
          <w:color w:val="auto"/>
          <w:sz w:val="24"/>
          <w:szCs w:val="24"/>
          <w:u w:val="none"/>
          <w:lang w:val="en-US" w:eastAsia="zh-CN"/>
        </w:rPr>
        <w:t>将按公开、公平、公正的原则对参加竞谈的</w:t>
      </w:r>
      <w:r>
        <w:rPr>
          <w:rStyle w:val="8"/>
          <w:rFonts w:hint="eastAsia" w:ascii="仿宋" w:hAnsi="仿宋" w:eastAsia="仿宋" w:cs="仿宋"/>
          <w:color w:val="auto"/>
          <w:sz w:val="24"/>
          <w:szCs w:val="24"/>
          <w:u w:val="none"/>
          <w:lang w:val="en-US" w:eastAsia="zh-CN"/>
        </w:rPr>
        <w:t>供应商</w:t>
      </w:r>
      <w:r>
        <w:rPr>
          <w:rStyle w:val="8"/>
          <w:rFonts w:hint="default" w:ascii="仿宋" w:hAnsi="仿宋" w:eastAsia="仿宋" w:cs="仿宋"/>
          <w:color w:val="auto"/>
          <w:sz w:val="24"/>
          <w:szCs w:val="24"/>
          <w:u w:val="none"/>
          <w:lang w:val="en-US" w:eastAsia="zh-CN"/>
        </w:rPr>
        <w:t>进行评审，择优选择</w:t>
      </w:r>
      <w:r>
        <w:rPr>
          <w:rStyle w:val="8"/>
          <w:rFonts w:hint="eastAsia" w:ascii="仿宋" w:hAnsi="仿宋" w:eastAsia="仿宋" w:cs="仿宋"/>
          <w:color w:val="auto"/>
          <w:sz w:val="24"/>
          <w:szCs w:val="24"/>
          <w:u w:val="none"/>
          <w:lang w:val="en-US" w:eastAsia="zh-CN"/>
        </w:rPr>
        <w:t>供应商</w:t>
      </w:r>
      <w:r>
        <w:rPr>
          <w:rStyle w:val="8"/>
          <w:rFonts w:hint="default" w:ascii="仿宋" w:hAnsi="仿宋" w:eastAsia="仿宋" w:cs="仿宋"/>
          <w:color w:val="auto"/>
          <w:sz w:val="24"/>
          <w:szCs w:val="24"/>
          <w:u w:val="none"/>
          <w:lang w:val="en-US" w:eastAsia="zh-CN"/>
        </w:rPr>
        <w:t>。</w:t>
      </w:r>
    </w:p>
    <w:p w14:paraId="453B2A06">
      <w:pPr>
        <w:rPr>
          <w:rFonts w:hint="eastAsia" w:ascii="仿宋" w:hAnsi="仿宋" w:eastAsia="仿宋" w:cs="仿宋"/>
          <w:b/>
          <w:spacing w:val="10"/>
          <w:kern w:val="0"/>
          <w:sz w:val="24"/>
          <w:szCs w:val="24"/>
          <w:lang w:val="en-US" w:eastAsia="zh-CN"/>
        </w:rPr>
      </w:pPr>
      <w:r>
        <w:rPr>
          <w:rFonts w:hint="eastAsia" w:ascii="仿宋" w:hAnsi="仿宋" w:eastAsia="仿宋" w:cs="仿宋"/>
          <w:b/>
          <w:spacing w:val="10"/>
          <w:kern w:val="0"/>
          <w:sz w:val="24"/>
          <w:szCs w:val="24"/>
          <w:lang w:val="en-US" w:eastAsia="zh-CN"/>
        </w:rPr>
        <w:t>二、工程概况及谈判范围</w:t>
      </w:r>
    </w:p>
    <w:p w14:paraId="0A6D4B69">
      <w:pPr>
        <w:spacing w:line="576" w:lineRule="exact"/>
        <w:ind w:firstLine="480" w:firstLineChars="200"/>
        <w:rPr>
          <w:rStyle w:val="8"/>
          <w:rFonts w:hint="eastAsia" w:ascii="仿宋" w:hAnsi="仿宋" w:eastAsia="仿宋" w:cs="仿宋"/>
          <w:color w:val="auto"/>
          <w:sz w:val="24"/>
          <w:szCs w:val="24"/>
          <w:u w:val="none"/>
          <w:lang w:val="en-US" w:eastAsia="zh-CN"/>
        </w:rPr>
      </w:pPr>
      <w:r>
        <w:rPr>
          <w:rStyle w:val="8"/>
          <w:rFonts w:hint="eastAsia" w:ascii="仿宋" w:hAnsi="仿宋" w:eastAsia="仿宋" w:cs="仿宋"/>
          <w:color w:val="auto"/>
          <w:sz w:val="24"/>
          <w:szCs w:val="24"/>
          <w:u w:val="none"/>
          <w:lang w:val="en-US" w:eastAsia="zh-CN"/>
        </w:rPr>
        <w:t>2.1项目名称：科技城新区永兴普明片区垃圾分类收转运体系提升改造项目环境影响评价单位</w:t>
      </w:r>
    </w:p>
    <w:p w14:paraId="23F67820">
      <w:pPr>
        <w:pStyle w:val="4"/>
        <w:keepNext w:val="0"/>
        <w:keepLines w:val="0"/>
        <w:pageBreakBefore w:val="0"/>
        <w:widowControl w:val="0"/>
        <w:kinsoku/>
        <w:wordWrap/>
        <w:overflowPunct/>
        <w:topLinePunct w:val="0"/>
        <w:autoSpaceDE/>
        <w:autoSpaceDN/>
        <w:bidi w:val="0"/>
        <w:adjustRightInd/>
        <w:snapToGrid/>
        <w:spacing w:line="700" w:lineRule="exact"/>
        <w:ind w:firstLine="480" w:firstLineChars="200"/>
        <w:textAlignment w:val="auto"/>
        <w:rPr>
          <w:rStyle w:val="8"/>
          <w:rFonts w:ascii="仿宋" w:hAnsi="仿宋" w:eastAsia="仿宋" w:cs="仿宋"/>
          <w:color w:val="auto"/>
          <w:sz w:val="24"/>
          <w:szCs w:val="24"/>
        </w:rPr>
      </w:pPr>
      <w:r>
        <w:rPr>
          <w:rStyle w:val="8"/>
          <w:rFonts w:hint="default" w:ascii="仿宋" w:hAnsi="仿宋" w:eastAsia="仿宋" w:cs="仿宋"/>
          <w:sz w:val="24"/>
          <w:szCs w:val="24"/>
          <w:u w:val="none"/>
          <w:lang w:val="en-US" w:eastAsia="zh-CN"/>
        </w:rPr>
        <w:t>2.</w:t>
      </w:r>
      <w:r>
        <w:rPr>
          <w:rStyle w:val="8"/>
          <w:rFonts w:hint="default" w:ascii="仿宋" w:hAnsi="仿宋" w:eastAsia="仿宋" w:cs="仿宋"/>
          <w:sz w:val="24"/>
          <w:szCs w:val="24"/>
          <w:highlight w:val="none"/>
          <w:u w:val="none"/>
          <w:lang w:val="en-US" w:eastAsia="zh-CN"/>
        </w:rPr>
        <w:t>2项目建设规模及内容：</w:t>
      </w:r>
      <w:r>
        <w:rPr>
          <w:rStyle w:val="8"/>
          <w:rFonts w:ascii="仿宋" w:hAnsi="仿宋" w:eastAsia="仿宋" w:cs="仿宋"/>
          <w:color w:val="auto"/>
          <w:sz w:val="24"/>
          <w:szCs w:val="24"/>
        </w:rPr>
        <w:t>提升改造石桥铺生活垃圾压缩站，更新改造垃圾压缩、移箱平台、垃圾箱等设备，新增渗滤液处理、喷淋降尘除臭、高压冲洗、垃圾转运车等配套设备，并新建厨余垃圾处理站房及配套厨余垃圾收集设备，改造后垃圾处理能力为230吨/天;提升改造双碑八队垃圾转运站(5号垃圾转运站)，更新整体式垃圾压缩机，新增喷淋降尘除臭、高压冲洗等设备，改造后垃圾处理能力为20吨/天;市政维护范围内新增垃圾分类替转桶1000个、分类垃圾废物箱600个、压缩式垃圾清运车(新能源)6辆、大型垃圾清运车1辆、小型垃圾清运车2辆、电动三轮垃圾清运车10辆。</w:t>
      </w:r>
    </w:p>
    <w:p w14:paraId="12F4EBE1">
      <w:pPr>
        <w:widowControl/>
        <w:adjustRightInd/>
        <w:spacing w:line="576" w:lineRule="exact"/>
        <w:ind w:firstLine="480" w:firstLineChars="200"/>
        <w:jc w:val="left"/>
        <w:rPr>
          <w:rStyle w:val="8"/>
          <w:rFonts w:hint="default" w:ascii="仿宋" w:hAnsi="仿宋" w:eastAsia="仿宋" w:cs="仿宋"/>
          <w:color w:val="auto"/>
          <w:sz w:val="24"/>
          <w:szCs w:val="24"/>
          <w:u w:val="none"/>
          <w:lang w:val="en-US" w:eastAsia="zh-CN"/>
        </w:rPr>
      </w:pPr>
      <w:r>
        <w:rPr>
          <w:rStyle w:val="8"/>
          <w:rFonts w:hint="eastAsia" w:ascii="仿宋" w:hAnsi="仿宋" w:eastAsia="仿宋" w:cs="仿宋"/>
          <w:color w:val="auto"/>
          <w:sz w:val="24"/>
          <w:szCs w:val="24"/>
          <w:u w:val="none"/>
          <w:lang w:val="en-US" w:eastAsia="zh-CN"/>
        </w:rPr>
        <w:t>2.3采购范围</w:t>
      </w:r>
      <w:r>
        <w:rPr>
          <w:rStyle w:val="8"/>
          <w:rFonts w:hint="default" w:ascii="仿宋" w:hAnsi="仿宋" w:eastAsia="仿宋" w:cs="仿宋"/>
          <w:color w:val="auto"/>
          <w:sz w:val="24"/>
          <w:szCs w:val="24"/>
          <w:u w:val="none"/>
          <w:lang w:val="en-US" w:eastAsia="zh-CN"/>
        </w:rPr>
        <w:t>：</w:t>
      </w:r>
      <w:r>
        <w:rPr>
          <w:rStyle w:val="8"/>
          <w:rFonts w:ascii="仿宋" w:hAnsi="仿宋" w:eastAsia="仿宋" w:cs="仿宋"/>
          <w:color w:val="auto"/>
          <w:sz w:val="24"/>
          <w:szCs w:val="24"/>
        </w:rPr>
        <w:t>该项目环境影响评价（报告表）编制服务，并出具经评审合格的报告。</w:t>
      </w:r>
    </w:p>
    <w:p w14:paraId="7E8E888B">
      <w:pPr>
        <w:keepNext w:val="0"/>
        <w:keepLines w:val="0"/>
        <w:pageBreakBefore w:val="0"/>
        <w:widowControl/>
        <w:numPr>
          <w:ilvl w:val="0"/>
          <w:numId w:val="0"/>
        </w:numPr>
        <w:kinsoku/>
        <w:wordWrap/>
        <w:overflowPunct/>
        <w:topLinePunct w:val="0"/>
        <w:autoSpaceDE/>
        <w:autoSpaceDN/>
        <w:bidi w:val="0"/>
        <w:adjustRightInd/>
        <w:snapToGrid/>
        <w:spacing w:line="576" w:lineRule="exact"/>
        <w:ind w:firstLine="480" w:firstLineChars="200"/>
        <w:jc w:val="left"/>
        <w:textAlignment w:val="auto"/>
        <w:rPr>
          <w:rStyle w:val="8"/>
          <w:rFonts w:hint="eastAsia" w:ascii="仿宋" w:hAnsi="仿宋" w:eastAsia="仿宋" w:cs="仿宋"/>
          <w:color w:val="auto"/>
          <w:sz w:val="24"/>
          <w:szCs w:val="24"/>
          <w:u w:val="none"/>
          <w:lang w:val="en-US" w:eastAsia="zh-CN"/>
        </w:rPr>
      </w:pPr>
      <w:r>
        <w:rPr>
          <w:rStyle w:val="8"/>
          <w:rFonts w:hint="eastAsia" w:ascii="仿宋" w:hAnsi="仿宋" w:eastAsia="仿宋" w:cs="仿宋"/>
          <w:color w:val="auto"/>
          <w:sz w:val="24"/>
          <w:szCs w:val="24"/>
          <w:u w:val="none"/>
          <w:lang w:val="en-US" w:eastAsia="zh-CN"/>
        </w:rPr>
        <w:t>2.4工期：25日。</w:t>
      </w:r>
    </w:p>
    <w:p w14:paraId="363D62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480" w:firstLineChars="200"/>
        <w:jc w:val="left"/>
        <w:rPr>
          <w:rFonts w:hint="eastAsia" w:ascii="仿宋_GB2312" w:hAnsi="仿宋_GB2312" w:eastAsia="仿宋" w:cs="仿宋_GB2312"/>
          <w:b w:val="0"/>
          <w:bCs w:val="0"/>
          <w:color w:val="000000"/>
          <w:kern w:val="2"/>
          <w:sz w:val="32"/>
          <w:szCs w:val="32"/>
          <w:lang w:val="en-US" w:eastAsia="zh-CN" w:bidi="ar-SA"/>
        </w:rPr>
      </w:pPr>
      <w:r>
        <w:rPr>
          <w:rStyle w:val="8"/>
          <w:rFonts w:hint="eastAsia" w:ascii="仿宋" w:hAnsi="仿宋" w:eastAsia="仿宋" w:cs="仿宋"/>
          <w:color w:val="auto"/>
          <w:sz w:val="24"/>
          <w:szCs w:val="24"/>
          <w:u w:val="none"/>
          <w:lang w:val="en-US" w:eastAsia="zh-CN"/>
        </w:rPr>
        <w:t>2.5最高限价：</w:t>
      </w:r>
      <w:r>
        <w:rPr>
          <w:rStyle w:val="8"/>
          <w:rFonts w:ascii="仿宋" w:hAnsi="仿宋" w:eastAsia="仿宋" w:cs="仿宋"/>
          <w:color w:val="auto"/>
          <w:sz w:val="24"/>
          <w:szCs w:val="24"/>
        </w:rPr>
        <w:t>22200元</w:t>
      </w:r>
      <w:r>
        <w:rPr>
          <w:rStyle w:val="8"/>
          <w:rFonts w:hint="default" w:ascii="仿宋" w:hAnsi="仿宋" w:eastAsia="仿宋" w:cs="仿宋"/>
          <w:color w:val="auto"/>
          <w:sz w:val="24"/>
          <w:szCs w:val="24"/>
          <w:lang w:eastAsia="zh-CN"/>
        </w:rPr>
        <w:t>。</w:t>
      </w:r>
    </w:p>
    <w:p w14:paraId="36F26815">
      <w:pPr>
        <w:keepNext w:val="0"/>
        <w:keepLines w:val="0"/>
        <w:pageBreakBefore w:val="0"/>
        <w:widowControl/>
        <w:kinsoku/>
        <w:wordWrap/>
        <w:overflowPunct/>
        <w:topLinePunct w:val="0"/>
        <w:autoSpaceDE/>
        <w:autoSpaceDN/>
        <w:bidi w:val="0"/>
        <w:adjustRightInd/>
        <w:snapToGrid/>
        <w:spacing w:line="576" w:lineRule="exact"/>
        <w:ind w:firstLine="480" w:firstLineChars="0"/>
        <w:jc w:val="left"/>
        <w:textAlignment w:val="auto"/>
        <w:rPr>
          <w:rStyle w:val="8"/>
          <w:rFonts w:ascii="仿宋" w:hAnsi="仿宋" w:eastAsia="仿宋" w:cs="仿宋"/>
          <w:color w:val="auto"/>
          <w:sz w:val="24"/>
          <w:szCs w:val="24"/>
        </w:rPr>
      </w:pPr>
      <w:r>
        <w:rPr>
          <w:rStyle w:val="8"/>
          <w:rFonts w:hint="default" w:ascii="仿宋" w:hAnsi="仿宋" w:eastAsia="仿宋" w:cs="仿宋"/>
          <w:color w:val="auto"/>
          <w:sz w:val="24"/>
          <w:szCs w:val="24"/>
          <w:highlight w:val="none"/>
          <w:u w:val="none"/>
          <w:lang w:val="en-US" w:eastAsia="zh-CN"/>
        </w:rPr>
        <w:t>2.6质量及技术要求：</w:t>
      </w:r>
      <w:r>
        <w:rPr>
          <w:rStyle w:val="8"/>
          <w:rFonts w:ascii="仿宋" w:hAnsi="仿宋" w:eastAsia="仿宋" w:cs="仿宋"/>
          <w:color w:val="auto"/>
          <w:sz w:val="24"/>
          <w:szCs w:val="24"/>
        </w:rPr>
        <w:t>符合国家及行业现行规定规范要求。</w:t>
      </w:r>
    </w:p>
    <w:p w14:paraId="22C8EA0C">
      <w:pPr>
        <w:spacing w:line="576" w:lineRule="exact"/>
        <w:ind w:firstLine="480" w:firstLineChars="200"/>
        <w:rPr>
          <w:rStyle w:val="8"/>
          <w:rFonts w:hint="default" w:ascii="仿宋" w:hAnsi="仿宋" w:eastAsia="仿宋" w:cs="仿宋"/>
          <w:color w:val="0000FF"/>
          <w:sz w:val="24"/>
          <w:szCs w:val="24"/>
          <w:u w:val="single"/>
          <w:lang w:val="en-US" w:eastAsia="zh-CN"/>
        </w:rPr>
      </w:pPr>
      <w:r>
        <w:rPr>
          <w:rStyle w:val="8"/>
          <w:rFonts w:hint="eastAsia" w:ascii="仿宋" w:hAnsi="仿宋" w:eastAsia="仿宋" w:cs="仿宋"/>
          <w:color w:val="auto"/>
          <w:sz w:val="24"/>
          <w:szCs w:val="24"/>
          <w:u w:val="none"/>
          <w:lang w:val="en-US" w:eastAsia="zh-CN"/>
        </w:rPr>
        <w:t>2.7资金来源：自筹</w:t>
      </w:r>
    </w:p>
    <w:p w14:paraId="0D0CB8CC">
      <w:pPr>
        <w:rPr>
          <w:rFonts w:hint="eastAsia" w:ascii="仿宋" w:hAnsi="仿宋" w:eastAsia="仿宋" w:cs="仿宋"/>
          <w:b/>
          <w:spacing w:val="10"/>
          <w:kern w:val="0"/>
          <w:sz w:val="24"/>
          <w:szCs w:val="24"/>
          <w:lang w:val="en-US" w:eastAsia="zh-CN"/>
        </w:rPr>
      </w:pPr>
      <w:r>
        <w:rPr>
          <w:rFonts w:hint="eastAsia" w:ascii="仿宋" w:hAnsi="仿宋" w:eastAsia="仿宋" w:cs="仿宋"/>
          <w:b/>
          <w:spacing w:val="10"/>
          <w:kern w:val="0"/>
          <w:sz w:val="24"/>
          <w:szCs w:val="24"/>
          <w:lang w:val="en-US" w:eastAsia="zh-CN"/>
        </w:rPr>
        <w:t>三、供应商资格要求</w:t>
      </w:r>
    </w:p>
    <w:p w14:paraId="05CC037E">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3.1一般要求：具有独立企业法人资格。</w:t>
      </w:r>
    </w:p>
    <w:p w14:paraId="2F24183C">
      <w:pPr>
        <w:spacing w:line="576" w:lineRule="exact"/>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3.2资质要求：</w:t>
      </w:r>
    </w:p>
    <w:p w14:paraId="5F2609E5">
      <w:pPr>
        <w:spacing w:line="576" w:lineRule="exact"/>
        <w:ind w:firstLine="720" w:firstLineChars="3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（1）有健全的组织机构、完善的组织章程和管理制度，有固定的工作场所，有健全的质量管理体系；</w:t>
      </w:r>
    </w:p>
    <w:p w14:paraId="2C149743">
      <w:pPr>
        <w:spacing w:line="576" w:lineRule="exact"/>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（2）具有良好的财务状况和商业信誉，未处于被责令停业、投标资格被取消或者财产被接管、冻结和破产状态；</w:t>
      </w:r>
    </w:p>
    <w:p w14:paraId="1C8549FF">
      <w:pPr>
        <w:spacing w:line="576" w:lineRule="exact"/>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（3）未被认定有不正当竞争行为、欺诈行为、商业贿赂等腐败行为。</w:t>
      </w:r>
    </w:p>
    <w:p w14:paraId="341CF451">
      <w:pPr>
        <w:spacing w:line="576" w:lineRule="exact"/>
        <w:ind w:firstLine="480" w:firstLineChars="200"/>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（4）在过往经营活动中无不良记录，未受到行业主管部门的处罚，未出现因评估失误导致的法律纠纷等。</w:t>
      </w:r>
    </w:p>
    <w:p w14:paraId="6A1BAFF8">
      <w:pPr>
        <w:spacing w:line="576" w:lineRule="exact"/>
        <w:ind w:firstLine="720" w:firstLineChars="3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3.3本次竞谈（</w:t>
      </w:r>
      <w:r>
        <w:rPr>
          <w:rFonts w:hint="eastAsia" w:ascii="仿宋" w:hAnsi="仿宋" w:eastAsia="仿宋" w:cs="仿宋"/>
          <w:kern w:val="0"/>
          <w:sz w:val="24"/>
          <w:szCs w:val="24"/>
          <w:highlight w:val="none"/>
          <w:lang w:val="en-US" w:eastAsia="zh-CN" w:bidi="ar-SA"/>
        </w:rPr>
        <w:sym w:font="Wingdings 2" w:char="00A3"/>
      </w:r>
      <w:r>
        <w:rPr>
          <w:rFonts w:hint="eastAsia" w:ascii="仿宋" w:hAnsi="仿宋" w:eastAsia="仿宋" w:cs="仿宋"/>
          <w:kern w:val="0"/>
          <w:sz w:val="24"/>
          <w:szCs w:val="24"/>
          <w:highlight w:val="none"/>
          <w:lang w:val="en-US" w:eastAsia="zh-CN" w:bidi="ar-SA"/>
        </w:rPr>
        <w:t>接受；☑不接受）联合体投标，参与竞争性谈判的供应商不少于3家。</w:t>
      </w:r>
    </w:p>
    <w:p w14:paraId="55116A6C">
      <w:pPr>
        <w:numPr>
          <w:ilvl w:val="0"/>
          <w:numId w:val="0"/>
        </w:numPr>
        <w:spacing w:line="576" w:lineRule="exact"/>
        <w:ind w:firstLine="720" w:firstLineChars="300"/>
        <w:jc w:val="left"/>
        <w:rPr>
          <w:rFonts w:hint="eastAsia" w:ascii="仿宋" w:hAnsi="仿宋" w:eastAsia="仿宋" w:cs="仿宋"/>
          <w:b w:val="0"/>
          <w:bCs w:val="0"/>
          <w:color w:val="000000"/>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3.4</w:t>
      </w:r>
      <w:r>
        <w:rPr>
          <w:rFonts w:hint="eastAsia" w:ascii="仿宋" w:hAnsi="仿宋" w:eastAsia="仿宋" w:cs="仿宋"/>
          <w:b w:val="0"/>
          <w:bCs w:val="0"/>
          <w:color w:val="000000"/>
          <w:kern w:val="0"/>
          <w:sz w:val="24"/>
          <w:szCs w:val="24"/>
          <w:highlight w:val="none"/>
          <w:lang w:val="en-US" w:eastAsia="zh-CN" w:bidi="ar-SA"/>
        </w:rPr>
        <w:t>近三年来(2023年至投标截止日前)，申请人至少已完成1个类似项目业绩。(类似项目业绩是指环境影响评价服务业绩。需提供资料:合同协议书，时间以合同签订时间为准)。</w:t>
      </w:r>
    </w:p>
    <w:p w14:paraId="52484B09">
      <w:pPr>
        <w:numPr>
          <w:ilvl w:val="0"/>
          <w:numId w:val="0"/>
        </w:numPr>
        <w:spacing w:line="576" w:lineRule="exact"/>
        <w:ind w:firstLine="720" w:firstLineChars="300"/>
        <w:jc w:val="left"/>
        <w:rPr>
          <w:rFonts w:hint="eastAsia" w:ascii="仿宋" w:hAnsi="仿宋" w:eastAsia="仿宋" w:cs="仿宋"/>
          <w:b w:val="0"/>
          <w:bCs w:val="0"/>
          <w:color w:val="000000"/>
          <w:kern w:val="0"/>
          <w:sz w:val="24"/>
          <w:szCs w:val="24"/>
          <w:highlight w:val="none"/>
          <w:lang w:val="en-US" w:eastAsia="zh-CN" w:bidi="ar-SA"/>
        </w:rPr>
      </w:pPr>
      <w:r>
        <w:rPr>
          <w:rFonts w:hint="eastAsia" w:ascii="仿宋" w:hAnsi="仿宋" w:eastAsia="仿宋" w:cs="仿宋"/>
          <w:b w:val="0"/>
          <w:bCs w:val="0"/>
          <w:color w:val="000000"/>
          <w:kern w:val="0"/>
          <w:sz w:val="24"/>
          <w:szCs w:val="24"/>
          <w:highlight w:val="none"/>
          <w:lang w:val="en-US" w:eastAsia="zh-CN" w:bidi="ar-SA"/>
        </w:rPr>
        <w:t>拟派驻项目负责人资格要求:注册环评工程师证书。</w:t>
      </w:r>
    </w:p>
    <w:p w14:paraId="60DE6428">
      <w:pPr>
        <w:spacing w:line="576" w:lineRule="exact"/>
        <w:ind w:firstLine="783" w:firstLineChars="300"/>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四、谈判文件的获取</w:t>
      </w:r>
    </w:p>
    <w:p w14:paraId="5517D3B7">
      <w:pPr>
        <w:keepNext w:val="0"/>
        <w:keepLines w:val="0"/>
        <w:pageBreakBefore w:val="0"/>
        <w:widowControl w:val="0"/>
        <w:kinsoku/>
        <w:wordWrap/>
        <w:overflowPunct/>
        <w:topLinePunct w:val="0"/>
        <w:autoSpaceDE/>
        <w:autoSpaceDN/>
        <w:bidi w:val="0"/>
        <w:adjustRightInd/>
        <w:snapToGrid/>
        <w:spacing w:line="576" w:lineRule="exact"/>
        <w:ind w:firstLine="480" w:firstLineChars="200"/>
        <w:textAlignment w:val="auto"/>
        <w:rPr>
          <w:rFonts w:hint="eastAsia" w:ascii="仿宋" w:hAnsi="仿宋" w:eastAsia="仿宋" w:cs="仿宋"/>
          <w:kern w:val="0"/>
          <w:sz w:val="24"/>
          <w:szCs w:val="24"/>
          <w:highlight w:val="yellow"/>
          <w:lang w:val="en-US" w:eastAsia="zh-CN" w:bidi="ar-SA"/>
        </w:rPr>
      </w:pPr>
      <w:r>
        <w:rPr>
          <w:rFonts w:hint="eastAsia" w:ascii="仿宋" w:hAnsi="仿宋" w:eastAsia="仿宋" w:cs="仿宋"/>
          <w:kern w:val="0"/>
          <w:sz w:val="24"/>
          <w:szCs w:val="24"/>
          <w:highlight w:val="none"/>
          <w:lang w:val="en-US" w:eastAsia="zh-CN" w:bidi="ar-SA"/>
        </w:rPr>
        <w:t>获取谈判文件时间：2026年 5月7日09时00分至 2026年5月12日17时00分（北京时间，下同。）</w:t>
      </w:r>
    </w:p>
    <w:p w14:paraId="0E7E6772">
      <w:pPr>
        <w:autoSpaceDE/>
        <w:autoSpaceDN/>
        <w:adjustRightInd/>
        <w:spacing w:line="576" w:lineRule="exact"/>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凡有意参加本项目的潜在供应商，请于获取谈判文件时间内注册并登录西南联合产权交易所阳光采购平台网站（http://swueecg.com/#/index），按照网上操作流程（资料下载-供应商操作手册）获取谈判文件。</w:t>
      </w:r>
    </w:p>
    <w:p w14:paraId="0AC7639B">
      <w:pPr>
        <w:autoSpaceDE/>
        <w:autoSpaceDN/>
        <w:adjustRightInd/>
        <w:spacing w:line="576" w:lineRule="exact"/>
        <w:ind w:firstLine="480" w:firstLineChars="20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谈判文件售价及缴款方式:人民币200元/份，须通过投标人企业银行账户转账方式交纳谈判文件获取费用(不接收个人转账，谈判文件售后不退,响应资格不能转让)，转账时请核实招采平台转账页面的“项目信息”，认真阅读“注意事项”并按照“支付信息”进行转账。(谈判文件获取费用以费用到达指定账户为准，在文件获取截止时间内未到账的不能获取谈判文件)。</w:t>
      </w:r>
    </w:p>
    <w:p w14:paraId="11DF2105">
      <w:pPr>
        <w:adjustRightInd/>
        <w:spacing w:line="576" w:lineRule="exact"/>
        <w:ind w:firstLine="480" w:firstLineChars="200"/>
        <w:rPr>
          <w:rFonts w:hint="eastAsia" w:ascii="仿宋" w:hAnsi="仿宋" w:eastAsia="仿宋" w:cs="仿宋"/>
          <w:b/>
          <w:spacing w:val="10"/>
          <w:kern w:val="0"/>
          <w:sz w:val="24"/>
          <w:szCs w:val="24"/>
          <w:lang w:val="en-US" w:eastAsia="zh-CN" w:bidi="ar-SA"/>
        </w:rPr>
      </w:pPr>
      <w:r>
        <w:rPr>
          <w:rFonts w:hint="eastAsia" w:ascii="仿宋" w:hAnsi="仿宋" w:eastAsia="仿宋" w:cs="仿宋"/>
          <w:kern w:val="0"/>
          <w:sz w:val="24"/>
          <w:szCs w:val="24"/>
          <w:highlight w:val="none"/>
          <w:lang w:val="en-US" w:eastAsia="zh-CN" w:bidi="ar-SA"/>
        </w:rPr>
        <w:t>注:西南联合产权交易所阳光采购平台仅履行该费用代收代付的结算职能，如响应供应商在缴纳该费用后需要相关票据，请联系该费用实际收取单位(绵阳新兴投资控股有限公司)，相关票据由绵阳新兴投资控股有限公司出具。</w:t>
      </w:r>
    </w:p>
    <w:p w14:paraId="4BA4735C">
      <w:pPr>
        <w:pStyle w:val="9"/>
        <w:keepNext w:val="0"/>
        <w:keepLines w:val="0"/>
        <w:pageBreakBefore w:val="0"/>
        <w:numPr>
          <w:ilvl w:val="0"/>
          <w:numId w:val="0"/>
        </w:numPr>
        <w:tabs>
          <w:tab w:val="left" w:pos="3765"/>
        </w:tabs>
        <w:kinsoku/>
        <w:overflowPunct/>
        <w:topLinePunct w:val="0"/>
        <w:autoSpaceDE/>
        <w:autoSpaceDN/>
        <w:bidi w:val="0"/>
        <w:spacing w:line="400" w:lineRule="exact"/>
        <w:textAlignment w:val="auto"/>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五、响应文件的递交</w:t>
      </w:r>
    </w:p>
    <w:p w14:paraId="1AE5BCDC">
      <w:pPr>
        <w:keepNext w:val="0"/>
        <w:keepLines w:val="0"/>
        <w:pageBreakBefore w:val="0"/>
        <w:widowControl w:val="0"/>
        <w:kinsoku/>
        <w:wordWrap/>
        <w:overflowPunct/>
        <w:topLinePunct w:val="0"/>
        <w:autoSpaceDE/>
        <w:autoSpaceDN/>
        <w:bidi w:val="0"/>
        <w:adjustRightInd/>
        <w:snapToGrid/>
        <w:spacing w:line="576" w:lineRule="exact"/>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5.1响应文件递交的截止时间、地点（谈判会开始时间、地点，下同）为2026年5月13日10时30分，</w:t>
      </w:r>
      <w:r>
        <w:rPr>
          <w:rFonts w:hint="eastAsia" w:ascii="仿宋" w:hAnsi="仿宋" w:eastAsia="仿宋" w:cs="仿宋"/>
          <w:sz w:val="24"/>
          <w:szCs w:val="24"/>
          <w:highlight w:val="none"/>
        </w:rPr>
        <w:t>绵阳</w:t>
      </w:r>
      <w:r>
        <w:rPr>
          <w:rFonts w:hint="eastAsia" w:ascii="仿宋" w:hAnsi="仿宋" w:eastAsia="仿宋" w:cs="仿宋"/>
          <w:sz w:val="24"/>
          <w:szCs w:val="24"/>
          <w:highlight w:val="none"/>
          <w:lang w:val="en-US" w:eastAsia="zh-CN"/>
        </w:rPr>
        <w:t>高新区新惠·锦苑（一期）五号楼二楼</w:t>
      </w:r>
      <w:r>
        <w:rPr>
          <w:rFonts w:hint="eastAsia" w:ascii="仿宋" w:hAnsi="仿宋" w:eastAsia="仿宋" w:cs="仿宋"/>
          <w:kern w:val="0"/>
          <w:sz w:val="24"/>
          <w:szCs w:val="24"/>
          <w:highlight w:val="none"/>
          <w:lang w:val="en-US" w:eastAsia="zh-CN" w:bidi="ar-SA"/>
        </w:rPr>
        <w:t>。</w:t>
      </w:r>
    </w:p>
    <w:p w14:paraId="242B08F9">
      <w:pPr>
        <w:keepNext w:val="0"/>
        <w:keepLines w:val="0"/>
        <w:pageBreakBefore w:val="0"/>
        <w:widowControl w:val="0"/>
        <w:kinsoku/>
        <w:wordWrap/>
        <w:overflowPunct/>
        <w:topLinePunct w:val="0"/>
        <w:autoSpaceDE/>
        <w:autoSpaceDN/>
        <w:bidi w:val="0"/>
        <w:adjustRightInd/>
        <w:snapToGrid/>
        <w:spacing w:line="576" w:lineRule="exact"/>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5.2响应文件递交方式：响应文件在开标地点进行现场递交；供应商必须在投标截止时间前完成响应文件的现场递交，逾期递交，投标无效。</w:t>
      </w:r>
    </w:p>
    <w:p w14:paraId="355CEEAA">
      <w:pPr>
        <w:pStyle w:val="9"/>
        <w:keepNext w:val="0"/>
        <w:keepLines w:val="0"/>
        <w:pageBreakBefore w:val="0"/>
        <w:numPr>
          <w:ilvl w:val="0"/>
          <w:numId w:val="0"/>
        </w:numPr>
        <w:tabs>
          <w:tab w:val="left" w:pos="3765"/>
        </w:tabs>
        <w:kinsoku/>
        <w:overflowPunct/>
        <w:topLinePunct w:val="0"/>
        <w:autoSpaceDE/>
        <w:autoSpaceDN/>
        <w:bidi w:val="0"/>
        <w:spacing w:line="400" w:lineRule="exact"/>
        <w:textAlignment w:val="auto"/>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六、本项目不允许分包</w:t>
      </w:r>
    </w:p>
    <w:p w14:paraId="6784927C">
      <w:pPr>
        <w:pStyle w:val="9"/>
        <w:keepNext w:val="0"/>
        <w:keepLines w:val="0"/>
        <w:pageBreakBefore w:val="0"/>
        <w:numPr>
          <w:ilvl w:val="0"/>
          <w:numId w:val="0"/>
        </w:numPr>
        <w:tabs>
          <w:tab w:val="left" w:pos="3765"/>
        </w:tabs>
        <w:kinsoku/>
        <w:overflowPunct/>
        <w:topLinePunct w:val="0"/>
        <w:autoSpaceDE/>
        <w:autoSpaceDN/>
        <w:bidi w:val="0"/>
        <w:spacing w:line="400" w:lineRule="exact"/>
        <w:textAlignment w:val="auto"/>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七、发布媒介</w:t>
      </w:r>
    </w:p>
    <w:p w14:paraId="01EFB7CC">
      <w:pPr>
        <w:pStyle w:val="3"/>
        <w:spacing w:line="576" w:lineRule="exact"/>
        <w:rPr>
          <w:rFonts w:ascii="仿宋" w:hAnsi="仿宋" w:eastAsia="仿宋" w:cs="仿宋"/>
          <w:kern w:val="0"/>
          <w:sz w:val="24"/>
          <w:szCs w:val="24"/>
        </w:rPr>
      </w:pPr>
      <w:r>
        <w:rPr>
          <w:rFonts w:hint="eastAsia" w:ascii="仿宋" w:hAnsi="仿宋" w:eastAsia="仿宋" w:cs="仿宋"/>
          <w:kern w:val="0"/>
          <w:sz w:val="24"/>
          <w:szCs w:val="24"/>
        </w:rPr>
        <w:t>本次</w:t>
      </w:r>
      <w:r>
        <w:rPr>
          <w:rFonts w:hint="eastAsia" w:ascii="仿宋" w:hAnsi="仿宋" w:eastAsia="仿宋" w:cs="仿宋"/>
          <w:kern w:val="0"/>
          <w:sz w:val="24"/>
          <w:szCs w:val="24"/>
          <w:lang w:val="en-US" w:eastAsia="zh-CN"/>
        </w:rPr>
        <w:t>采购</w:t>
      </w:r>
      <w:r>
        <w:rPr>
          <w:rFonts w:hint="eastAsia" w:ascii="仿宋" w:hAnsi="仿宋" w:eastAsia="仿宋" w:cs="仿宋"/>
          <w:kern w:val="0"/>
          <w:sz w:val="24"/>
          <w:szCs w:val="24"/>
        </w:rPr>
        <w:t>公告在绵阳科技城新区管理委员会网站</w:t>
      </w:r>
      <w:r>
        <w:rPr>
          <w:rFonts w:hint="eastAsia" w:ascii="仿宋" w:hAnsi="仿宋" w:eastAsia="仿宋" w:cs="仿宋"/>
          <w:kern w:val="0"/>
          <w:sz w:val="24"/>
          <w:szCs w:val="24"/>
          <w:lang w:eastAsia="zh-CN"/>
        </w:rPr>
        <w:t>、</w:t>
      </w:r>
      <w:r>
        <w:rPr>
          <w:rFonts w:hint="eastAsia" w:ascii="仿宋" w:hAnsi="仿宋" w:eastAsia="仿宋" w:cs="仿宋"/>
          <w:kern w:val="0"/>
          <w:sz w:val="24"/>
          <w:szCs w:val="24"/>
          <w:highlight w:val="none"/>
          <w:lang w:val="en-US" w:eastAsia="zh-CN" w:bidi="ar-SA"/>
        </w:rPr>
        <w:t>西南联合产权交易所阳光采购平台</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绵阳科技城控股集团有限公司网站、绵阳科技城控股集团有限公司公众号、</w:t>
      </w:r>
      <w:r>
        <w:rPr>
          <w:rFonts w:hint="eastAsia" w:ascii="仿宋" w:hAnsi="仿宋" w:eastAsia="仿宋" w:cs="仿宋"/>
          <w:kern w:val="0"/>
          <w:sz w:val="24"/>
          <w:szCs w:val="24"/>
          <w:highlight w:val="none"/>
        </w:rPr>
        <w:t>绵阳新兴投资控股有限公司</w:t>
      </w:r>
      <w:r>
        <w:rPr>
          <w:rFonts w:hint="eastAsia" w:ascii="仿宋" w:hAnsi="仿宋" w:eastAsia="仿宋" w:cs="仿宋"/>
          <w:kern w:val="0"/>
          <w:sz w:val="24"/>
          <w:szCs w:val="24"/>
          <w:highlight w:val="none"/>
          <w:lang w:val="en-US" w:eastAsia="zh-CN"/>
        </w:rPr>
        <w:t>公众号</w:t>
      </w:r>
      <w:r>
        <w:rPr>
          <w:rFonts w:hint="eastAsia" w:ascii="仿宋" w:hAnsi="仿宋" w:eastAsia="仿宋" w:cs="仿宋"/>
          <w:kern w:val="0"/>
          <w:sz w:val="24"/>
          <w:szCs w:val="24"/>
          <w:lang w:val="en-US" w:eastAsia="zh-CN"/>
        </w:rPr>
        <w:t>发布</w:t>
      </w:r>
      <w:r>
        <w:rPr>
          <w:rFonts w:hint="eastAsia" w:ascii="仿宋" w:hAnsi="仿宋" w:eastAsia="仿宋" w:cs="仿宋"/>
          <w:kern w:val="0"/>
          <w:sz w:val="24"/>
          <w:szCs w:val="24"/>
        </w:rPr>
        <w:t>。</w:t>
      </w:r>
    </w:p>
    <w:p w14:paraId="002F835B">
      <w:pPr>
        <w:pStyle w:val="9"/>
        <w:keepNext w:val="0"/>
        <w:keepLines w:val="0"/>
        <w:pageBreakBefore w:val="0"/>
        <w:numPr>
          <w:ilvl w:val="0"/>
          <w:numId w:val="0"/>
        </w:numPr>
        <w:tabs>
          <w:tab w:val="left" w:pos="3765"/>
        </w:tabs>
        <w:kinsoku/>
        <w:overflowPunct/>
        <w:topLinePunct w:val="0"/>
        <w:autoSpaceDE/>
        <w:autoSpaceDN/>
        <w:bidi w:val="0"/>
        <w:spacing w:line="400" w:lineRule="exact"/>
        <w:textAlignment w:val="auto"/>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八、监督投诉</w:t>
      </w:r>
    </w:p>
    <w:p w14:paraId="1B4A0423">
      <w:pPr>
        <w:pStyle w:val="3"/>
        <w:numPr>
          <w:ilvl w:val="0"/>
          <w:numId w:val="0"/>
        </w:numPr>
        <w:spacing w:line="576" w:lineRule="exact"/>
        <w:rPr>
          <w:rFonts w:hint="eastAsia"/>
          <w:sz w:val="28"/>
          <w:szCs w:val="22"/>
          <w:lang w:val="en-US" w:eastAsia="zh-CN"/>
        </w:rPr>
      </w:pPr>
      <w:r>
        <w:rPr>
          <w:rFonts w:hint="eastAsia" w:ascii="仿宋" w:hAnsi="仿宋" w:eastAsia="仿宋" w:cs="仿宋"/>
          <w:kern w:val="0"/>
          <w:sz w:val="24"/>
          <w:szCs w:val="24"/>
          <w:lang w:val="en-US" w:eastAsia="zh-CN"/>
        </w:rPr>
        <w:t xml:space="preserve">    若</w:t>
      </w:r>
      <w:r>
        <w:rPr>
          <w:rFonts w:hint="eastAsia" w:ascii="仿宋" w:hAnsi="仿宋" w:eastAsia="仿宋" w:cs="仿宋"/>
          <w:kern w:val="0"/>
          <w:sz w:val="24"/>
          <w:szCs w:val="24"/>
          <w:highlight w:val="none"/>
          <w:lang w:val="en-US" w:eastAsia="zh-CN"/>
        </w:rPr>
        <w:t>有异议，请于2026年</w:t>
      </w:r>
      <w:r>
        <w:rPr>
          <w:rFonts w:hint="eastAsia" w:ascii="仿宋" w:hAnsi="仿宋" w:eastAsia="仿宋" w:cs="仿宋"/>
          <w:kern w:val="0"/>
          <w:sz w:val="24"/>
          <w:szCs w:val="24"/>
          <w:highlight w:val="none"/>
          <w:u w:val="none"/>
          <w:lang w:val="en-US" w:eastAsia="zh-CN"/>
        </w:rPr>
        <w:t>5月15日17：00前，携带法</w:t>
      </w:r>
      <w:r>
        <w:rPr>
          <w:rFonts w:hint="eastAsia" w:ascii="仿宋" w:hAnsi="仿宋" w:eastAsia="仿宋" w:cs="仿宋"/>
          <w:kern w:val="0"/>
          <w:sz w:val="24"/>
          <w:szCs w:val="24"/>
          <w:u w:val="none"/>
          <w:lang w:val="en-US" w:eastAsia="zh-CN"/>
        </w:rPr>
        <w:t>定代表人身份证明（委托代理人需携带法定代表人出具的授权委托书）和异议书面材料提交</w:t>
      </w:r>
      <w:r>
        <w:rPr>
          <w:rFonts w:hint="eastAsia" w:ascii="仿宋" w:hAnsi="仿宋" w:eastAsia="仿宋" w:cs="仿宋"/>
          <w:kern w:val="0"/>
          <w:sz w:val="24"/>
          <w:szCs w:val="24"/>
          <w:highlight w:val="none"/>
          <w:u w:val="none"/>
          <w:lang w:val="en-US" w:eastAsia="zh-CN"/>
        </w:rPr>
        <w:t>绵阳新兴投资控股有限公司</w:t>
      </w:r>
      <w:r>
        <w:rPr>
          <w:rFonts w:hint="eastAsia" w:ascii="仿宋" w:hAnsi="仿宋" w:eastAsia="仿宋" w:cs="仿宋"/>
          <w:kern w:val="0"/>
          <w:sz w:val="24"/>
          <w:szCs w:val="24"/>
          <w:u w:val="none"/>
          <w:lang w:val="en-US" w:eastAsia="zh-CN"/>
        </w:rPr>
        <w:t>成本控制部。若需投诉，携带法定代表人身份证明（委托代理人需携带法定代表人出具的授权委托书）和投诉书面材料提交绵阳新兴投资控股有限公司内部监督员。</w:t>
      </w:r>
    </w:p>
    <w:p w14:paraId="266BBE62">
      <w:pPr>
        <w:pStyle w:val="3"/>
        <w:numPr>
          <w:ilvl w:val="0"/>
          <w:numId w:val="0"/>
        </w:numPr>
        <w:spacing w:line="576" w:lineRule="exact"/>
        <w:rPr>
          <w:rFonts w:hint="eastAsia" w:ascii="仿宋" w:hAnsi="仿宋" w:eastAsia="仿宋" w:cs="仿宋"/>
          <w:b/>
          <w:spacing w:val="10"/>
          <w:kern w:val="0"/>
          <w:sz w:val="24"/>
          <w:szCs w:val="24"/>
          <w:lang w:val="en-US" w:eastAsia="zh-CN" w:bidi="ar-SA"/>
        </w:rPr>
      </w:pPr>
      <w:r>
        <w:rPr>
          <w:rFonts w:hint="eastAsia" w:ascii="仿宋" w:hAnsi="仿宋" w:eastAsia="仿宋" w:cs="仿宋"/>
          <w:b/>
          <w:spacing w:val="10"/>
          <w:kern w:val="0"/>
          <w:sz w:val="24"/>
          <w:szCs w:val="24"/>
          <w:lang w:val="en-US" w:eastAsia="zh-CN" w:bidi="ar-SA"/>
        </w:rPr>
        <w:t>九、联系方式</w:t>
      </w:r>
    </w:p>
    <w:p w14:paraId="614F0615">
      <w:pPr>
        <w:pStyle w:val="3"/>
        <w:numPr>
          <w:ilvl w:val="0"/>
          <w:numId w:val="0"/>
        </w:numPr>
        <w:spacing w:line="576" w:lineRule="exac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采 购 人：</w:t>
      </w:r>
      <w:r>
        <w:rPr>
          <w:rFonts w:hint="eastAsia" w:ascii="仿宋" w:hAnsi="仿宋" w:eastAsia="仿宋" w:cs="仿宋"/>
          <w:sz w:val="24"/>
          <w:szCs w:val="24"/>
          <w:highlight w:val="none"/>
          <w:lang w:val="en-US" w:eastAsia="zh-CN"/>
        </w:rPr>
        <w:t>绵阳高新市政建设有限责任公司</w:t>
      </w:r>
      <w:r>
        <w:rPr>
          <w:rFonts w:hint="eastAsia" w:ascii="仿宋" w:hAnsi="仿宋" w:eastAsia="仿宋" w:cs="仿宋"/>
          <w:kern w:val="0"/>
          <w:sz w:val="24"/>
          <w:szCs w:val="24"/>
          <w:lang w:val="en-US" w:eastAsia="zh-CN"/>
        </w:rPr>
        <w:t xml:space="preserve">    </w:t>
      </w:r>
    </w:p>
    <w:p w14:paraId="5569E0D5">
      <w:pPr>
        <w:pStyle w:val="3"/>
        <w:numPr>
          <w:ilvl w:val="0"/>
          <w:numId w:val="0"/>
        </w:numPr>
        <w:spacing w:line="576" w:lineRule="exac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地    址：</w:t>
      </w:r>
      <w:r>
        <w:rPr>
          <w:rFonts w:hint="eastAsia" w:ascii="仿宋" w:hAnsi="仿宋" w:eastAsia="仿宋" w:cs="仿宋"/>
          <w:sz w:val="24"/>
          <w:szCs w:val="24"/>
        </w:rPr>
        <w:t>绵阳</w:t>
      </w:r>
      <w:r>
        <w:rPr>
          <w:rFonts w:hint="eastAsia" w:ascii="仿宋" w:hAnsi="仿宋" w:eastAsia="仿宋" w:cs="仿宋"/>
          <w:sz w:val="24"/>
          <w:szCs w:val="24"/>
          <w:lang w:val="en-US" w:eastAsia="zh-CN"/>
        </w:rPr>
        <w:t>高新区新惠·锦苑（一期）五号楼二楼</w:t>
      </w:r>
      <w:r>
        <w:rPr>
          <w:rFonts w:hint="eastAsia" w:ascii="仿宋" w:hAnsi="仿宋" w:eastAsia="仿宋" w:cs="仿宋"/>
          <w:kern w:val="0"/>
          <w:sz w:val="24"/>
          <w:szCs w:val="24"/>
          <w:lang w:val="en-US" w:eastAsia="zh-CN"/>
        </w:rPr>
        <w:t xml:space="preserve">  </w:t>
      </w:r>
    </w:p>
    <w:p w14:paraId="14A933FB">
      <w:pPr>
        <w:pStyle w:val="3"/>
        <w:numPr>
          <w:ilvl w:val="0"/>
          <w:numId w:val="0"/>
        </w:numPr>
        <w:spacing w:line="576" w:lineRule="exac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联 系 人：杨先生                 </w:t>
      </w:r>
    </w:p>
    <w:p w14:paraId="1A209797">
      <w:pPr>
        <w:pStyle w:val="3"/>
        <w:numPr>
          <w:ilvl w:val="0"/>
          <w:numId w:val="0"/>
        </w:numPr>
        <w:spacing w:line="576" w:lineRule="exac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电    话：</w:t>
      </w:r>
      <w:r>
        <w:rPr>
          <w:rFonts w:hint="eastAsia" w:ascii="仿宋" w:hAnsi="仿宋" w:eastAsia="仿宋" w:cs="仿宋"/>
          <w:kern w:val="2"/>
          <w:sz w:val="24"/>
          <w:szCs w:val="24"/>
          <w:highlight w:val="none"/>
          <w:lang w:val="en-US" w:eastAsia="zh-CN"/>
        </w:rPr>
        <w:t>0816-2622983</w:t>
      </w:r>
      <w:r>
        <w:rPr>
          <w:rFonts w:hint="eastAsia" w:ascii="仿宋" w:hAnsi="仿宋" w:eastAsia="仿宋" w:cs="仿宋"/>
          <w:kern w:val="0"/>
          <w:sz w:val="24"/>
          <w:szCs w:val="24"/>
          <w:lang w:val="en-US" w:eastAsia="zh-CN"/>
        </w:rPr>
        <w:t xml:space="preserve">   </w:t>
      </w:r>
    </w:p>
    <w:p w14:paraId="3EFE1777">
      <w:pPr>
        <w:pStyle w:val="3"/>
        <w:numPr>
          <w:ilvl w:val="0"/>
          <w:numId w:val="0"/>
        </w:numPr>
        <w:spacing w:line="576" w:lineRule="exac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监督电话：0816-2364166 </w:t>
      </w:r>
    </w:p>
    <w:p w14:paraId="27E5C2B5">
      <w:pPr>
        <w:pStyle w:val="3"/>
        <w:keepNext w:val="0"/>
        <w:keepLines w:val="0"/>
        <w:pageBreakBefore w:val="0"/>
        <w:kinsoku/>
        <w:overflowPunct/>
        <w:topLinePunct w:val="0"/>
        <w:autoSpaceDE/>
        <w:autoSpaceDN/>
        <w:bidi w:val="0"/>
        <w:spacing w:line="400" w:lineRule="exact"/>
        <w:ind w:left="0" w:leftChars="0" w:firstLine="0" w:firstLineChars="0"/>
        <w:jc w:val="center"/>
        <w:textAlignment w:val="auto"/>
        <w:rPr>
          <w:rFonts w:hint="eastAsia" w:ascii="仿宋_GB2312" w:hAnsi="仿宋_GB2312" w:eastAsia="仿宋_GB2312" w:cs="仿宋_GB2312"/>
          <w:kern w:val="0"/>
          <w:sz w:val="21"/>
          <w:szCs w:val="21"/>
          <w:lang w:val="en-US" w:eastAsia="zh-CN" w:bidi="ar-SA"/>
        </w:rPr>
      </w:pPr>
      <w:r>
        <w:rPr>
          <w:rFonts w:hint="eastAsia" w:ascii="仿宋" w:hAnsi="仿宋" w:eastAsia="仿宋" w:cs="仿宋"/>
          <w:kern w:val="0"/>
          <w:sz w:val="24"/>
          <w:szCs w:val="24"/>
          <w:lang w:val="en-US" w:eastAsia="zh-CN"/>
        </w:rPr>
        <w:t xml:space="preserve">                             </w:t>
      </w:r>
      <w:r>
        <w:rPr>
          <w:rFonts w:hint="eastAsia" w:ascii="仿宋" w:hAnsi="仿宋" w:eastAsia="仿宋" w:cs="仿宋"/>
          <w:sz w:val="24"/>
          <w:szCs w:val="24"/>
          <w:lang w:val="en-US" w:eastAsia="zh-CN"/>
        </w:rPr>
        <w:t>绵阳高新市政建设有限责任公司</w:t>
      </w:r>
      <w:r>
        <w:rPr>
          <w:rFonts w:hint="eastAsia" w:ascii="仿宋_GB2312" w:hAnsi="仿宋_GB2312" w:eastAsia="仿宋_GB2312" w:cs="仿宋_GB2312"/>
          <w:kern w:val="0"/>
          <w:sz w:val="21"/>
          <w:szCs w:val="21"/>
          <w:lang w:val="en-US" w:eastAsia="zh-CN" w:bidi="ar-SA"/>
        </w:rPr>
        <w:t xml:space="preserve">                             </w:t>
      </w:r>
    </w:p>
    <w:p w14:paraId="0CE179EA">
      <w:r>
        <w:rPr>
          <w:rFonts w:hint="eastAsia" w:ascii="仿宋" w:hAnsi="仿宋" w:eastAsia="仿宋" w:cs="仿宋"/>
          <w:kern w:val="0"/>
          <w:sz w:val="24"/>
          <w:szCs w:val="24"/>
          <w:lang w:val="en-US" w:eastAsia="zh-CN"/>
        </w:rPr>
        <w:t xml:space="preserve">                                      </w:t>
      </w:r>
      <w:bookmarkStart w:id="0" w:name="_GoBack"/>
      <w:bookmarkEnd w:id="0"/>
      <w:r>
        <w:rPr>
          <w:rFonts w:hint="eastAsia" w:ascii="仿宋" w:hAnsi="仿宋" w:eastAsia="仿宋" w:cs="仿宋"/>
          <w:kern w:val="0"/>
          <w:sz w:val="24"/>
          <w:szCs w:val="24"/>
          <w:lang w:val="en-US" w:eastAsia="zh-CN"/>
        </w:rPr>
        <w:t xml:space="preserve"> 2026年5月6日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FE3A3E"/>
    <w:rsid w:val="36E05B31"/>
    <w:rsid w:val="51F15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uiPriority w:val="0"/>
    <w:pPr>
      <w:spacing w:line="320" w:lineRule="exact"/>
    </w:pPr>
    <w:rPr>
      <w:sz w:val="28"/>
      <w:szCs w:val="20"/>
    </w:rPr>
  </w:style>
  <w:style w:type="paragraph" w:styleId="3">
    <w:name w:val="Body Text Indent"/>
    <w:basedOn w:val="1"/>
    <w:next w:val="1"/>
    <w:unhideWhenUsed/>
    <w:uiPriority w:val="99"/>
    <w:pPr>
      <w:ind w:firstLine="640" w:firstLineChars="200"/>
    </w:pPr>
    <w:rPr>
      <w:rFonts w:ascii="仿宋_GB2312" w:eastAsia="仿宋_GB2312"/>
      <w:sz w:val="32"/>
    </w:rPr>
  </w:style>
  <w:style w:type="paragraph" w:styleId="4">
    <w:name w:val="footer"/>
    <w:basedOn w:val="1"/>
    <w:unhideWhenUsed/>
    <w:qFormat/>
    <w:uiPriority w:val="0"/>
    <w:pPr>
      <w:tabs>
        <w:tab w:val="center" w:pos="4153"/>
        <w:tab w:val="right" w:pos="8306"/>
      </w:tabs>
      <w:snapToGrid w:val="0"/>
      <w:jc w:val="left"/>
    </w:pPr>
    <w:rPr>
      <w:sz w:val="18"/>
      <w:szCs w:val="18"/>
    </w:rPr>
  </w:style>
  <w:style w:type="paragraph" w:styleId="5">
    <w:name w:val="toc 1"/>
    <w:basedOn w:val="1"/>
    <w:next w:val="1"/>
    <w:qFormat/>
    <w:uiPriority w:val="1"/>
    <w:pPr>
      <w:spacing w:before="200"/>
      <w:ind w:right="1"/>
      <w:jc w:val="center"/>
    </w:pPr>
    <w:rPr>
      <w:sz w:val="28"/>
      <w:szCs w:val="28"/>
    </w:rPr>
  </w:style>
  <w:style w:type="character" w:customStyle="1" w:styleId="8">
    <w:name w:val="tdrownotice1"/>
    <w:basedOn w:val="7"/>
    <w:qFormat/>
    <w:uiPriority w:val="0"/>
    <w:rPr>
      <w:sz w:val="22"/>
      <w:szCs w:val="22"/>
    </w:rPr>
  </w:style>
  <w:style w:type="paragraph" w:customStyle="1" w:styleId="9">
    <w:name w:val="List Paragraph"/>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1766</Words>
  <Characters>1888</Characters>
  <Lines>0</Lines>
  <Paragraphs>0</Paragraphs>
  <TotalTime>0</TotalTime>
  <ScaleCrop>false</ScaleCrop>
  <LinksUpToDate>false</LinksUpToDate>
  <CharactersWithSpaces>2031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2026-04-30T03:05:00Z</dcterms:created>
  <dc:creator>Administrator</dc:creator>
  <cp:lastModifiedBy>申易</cp:lastModifiedBy>
  <dcterms:modified xsi:type="dcterms:W3CDTF">2026-05-06T02:05:46Z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eyJoZGlkIjoiNDI4OTM4ZTM4ODdiYmVlODczOTg3YWZlNGZhNTIyNzMiLCJ1c2VySWQiOiIzNDQzMTIzMjYifQ==</vt:lpwstr>
  </property>
  <property fmtid="{D5CDD505-2E9C-101B-9397-08002B2CF9AE}" pid="4" name="ICV">
    <vt:lpwstr>8F1D28B47ADB4B24B29C40E113BDACD8_12</vt:lpwstr>
  </property>
</Properties>
</file>